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D5A" w:rsidRDefault="00FA584E" w:rsidP="00243D6F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Дополнить Учетную политику, утвержденную приказом от 19 декабря 2022 года № 333, с изменениями, утвержденными приказом от 27 апреля 2023 года </w:t>
      </w:r>
      <w:r w:rsidR="003E5781">
        <w:rPr>
          <w:sz w:val="24"/>
          <w:szCs w:val="24"/>
        </w:rPr>
        <w:t>№ 77, приказом от 29 июня 2023 года № 184</w:t>
      </w:r>
      <w:r w:rsidR="00AB2403">
        <w:rPr>
          <w:sz w:val="24"/>
          <w:szCs w:val="24"/>
        </w:rPr>
        <w:t>, приказом от 16.04.2024 года</w:t>
      </w:r>
      <w:r w:rsidR="003E5781">
        <w:rPr>
          <w:sz w:val="24"/>
          <w:szCs w:val="24"/>
        </w:rPr>
        <w:t xml:space="preserve"> </w:t>
      </w:r>
      <w:r w:rsidR="006B6D06">
        <w:rPr>
          <w:sz w:val="24"/>
          <w:szCs w:val="24"/>
        </w:rPr>
        <w:t>№ 92</w:t>
      </w:r>
      <w:r w:rsidR="008F5DE2">
        <w:rPr>
          <w:sz w:val="24"/>
          <w:szCs w:val="24"/>
        </w:rPr>
        <w:t>, приказом от 05 ноября 2024 года № 363</w:t>
      </w:r>
      <w:r w:rsidR="006B6D06">
        <w:rPr>
          <w:sz w:val="24"/>
          <w:szCs w:val="24"/>
        </w:rPr>
        <w:t xml:space="preserve"> </w:t>
      </w:r>
      <w:r>
        <w:rPr>
          <w:sz w:val="24"/>
          <w:szCs w:val="24"/>
        </w:rPr>
        <w:t>по следующим пунктам:</w:t>
      </w:r>
    </w:p>
    <w:p w:rsidR="00EF76AE" w:rsidRDefault="00EF76AE" w:rsidP="00CB53DA">
      <w:pPr>
        <w:ind w:left="360"/>
        <w:jc w:val="both"/>
        <w:rPr>
          <w:sz w:val="24"/>
          <w:szCs w:val="24"/>
        </w:rPr>
      </w:pPr>
    </w:p>
    <w:p w:rsidR="0019600E" w:rsidRPr="00C735D8" w:rsidRDefault="0019600E" w:rsidP="00FE772A">
      <w:pPr>
        <w:jc w:val="both"/>
        <w:rPr>
          <w:b/>
          <w:sz w:val="24"/>
          <w:szCs w:val="24"/>
        </w:rPr>
      </w:pPr>
    </w:p>
    <w:p w:rsidR="0019600E" w:rsidRDefault="0019600E" w:rsidP="0019600E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19600E">
        <w:rPr>
          <w:rFonts w:eastAsia="Times New Roman" w:cs="Times New Roman"/>
          <w:sz w:val="24"/>
          <w:szCs w:val="24"/>
          <w:lang w:eastAsia="ru-RU"/>
        </w:rPr>
        <w:t>8.</w:t>
      </w:r>
      <w:r w:rsidRPr="0019600E">
        <w:rPr>
          <w:rFonts w:eastAsia="Times New Roman" w:cs="Times New Roman"/>
          <w:b/>
          <w:sz w:val="24"/>
          <w:szCs w:val="24"/>
          <w:lang w:eastAsia="ru-RU"/>
        </w:rPr>
        <w:t>В бюджетном учреждении применять следующие методы оценки бухгалтерского учета, порядок признания (постановки на учет) и прекращения признания (выбытия из учета) объектов бухгалтерского учета, и (или) раскрытия информации о них в бухгалтерской (финансовой) отчетности в соответствии с нормативными правовыми актами, регулирующими ведение бухгалтерского учета и составление бухгалтерской (финансовой) отчетности</w:t>
      </w:r>
      <w:r w:rsidRPr="0019600E">
        <w:rPr>
          <w:rFonts w:eastAsia="Times New Roman" w:cs="Times New Roman"/>
          <w:sz w:val="24"/>
          <w:szCs w:val="24"/>
          <w:lang w:eastAsia="ru-RU"/>
        </w:rPr>
        <w:t>:</w:t>
      </w:r>
    </w:p>
    <w:p w:rsidR="00BD72E2" w:rsidRDefault="00BD72E2" w:rsidP="0019600E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D72E2" w:rsidRDefault="00EE3C45" w:rsidP="0019600E">
      <w:pPr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</w:t>
      </w:r>
      <w:r w:rsidR="00BD72E2">
        <w:rPr>
          <w:rFonts w:eastAsia="Times New Roman" w:cs="Times New Roman"/>
          <w:sz w:val="24"/>
          <w:szCs w:val="24"/>
          <w:lang w:eastAsia="ru-RU"/>
        </w:rPr>
        <w:t xml:space="preserve">Добавить пункт </w:t>
      </w:r>
      <w:r w:rsidR="00BD72E2" w:rsidRPr="00BD72E2">
        <w:rPr>
          <w:rFonts w:eastAsia="Times New Roman" w:cs="Times New Roman"/>
          <w:b/>
          <w:sz w:val="24"/>
          <w:szCs w:val="24"/>
          <w:lang w:eastAsia="ru-RU"/>
        </w:rPr>
        <w:t>8.2.4.</w:t>
      </w:r>
    </w:p>
    <w:p w:rsidR="00EE3C45" w:rsidRDefault="00EE3C45" w:rsidP="0019600E">
      <w:pPr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EE3C45" w:rsidRDefault="00EE3C45" w:rsidP="0019600E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EE3C45">
        <w:rPr>
          <w:rFonts w:eastAsia="Times New Roman" w:cs="Times New Roman"/>
          <w:sz w:val="24"/>
          <w:szCs w:val="24"/>
          <w:lang w:eastAsia="ru-RU"/>
        </w:rPr>
        <w:t>Затраты</w:t>
      </w:r>
      <w:r>
        <w:rPr>
          <w:rFonts w:eastAsia="Times New Roman" w:cs="Times New Roman"/>
          <w:sz w:val="24"/>
          <w:szCs w:val="24"/>
          <w:lang w:eastAsia="ru-RU"/>
        </w:rPr>
        <w:t xml:space="preserve"> на создание активов при проведении регулярных осмотров на предмет наличия дефектов, являющихся обязательным условием их эксплуатации, а также при проведении ремонтов (модернизаций,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дооборудований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>, реконструкций, в том числе с элементами реставраций, технических перевооружений</w:t>
      </w:r>
      <w:r w:rsidR="006D579F">
        <w:rPr>
          <w:rFonts w:eastAsia="Times New Roman" w:cs="Times New Roman"/>
          <w:sz w:val="24"/>
          <w:szCs w:val="24"/>
          <w:lang w:eastAsia="ru-RU"/>
        </w:rPr>
        <w:t>) формируют объем произведенных капитальных вложений с дальнейшим признанием в стоимости объекта основных средств, предусмотренных пунктом 8 Стандарта «Основные средства». В этом случае учтенная ранее в стоимости основных средств сумма затрат на проведение аналогичного мероприятия подлежит списанию в расходы текущего периода (на уменьшение финансового результата</w:t>
      </w:r>
      <w:r w:rsidR="00C320C5">
        <w:rPr>
          <w:rFonts w:eastAsia="Times New Roman" w:cs="Times New Roman"/>
          <w:sz w:val="24"/>
          <w:szCs w:val="24"/>
          <w:lang w:eastAsia="ru-RU"/>
        </w:rPr>
        <w:t>) с учетом накопленной амортизации.</w:t>
      </w:r>
    </w:p>
    <w:p w:rsidR="00C320C5" w:rsidRDefault="00C320C5" w:rsidP="0019600E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320C5" w:rsidRDefault="00C320C5" w:rsidP="0019600E">
      <w:pPr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Добавить пункт </w:t>
      </w:r>
      <w:r w:rsidRPr="00C320C5">
        <w:rPr>
          <w:rFonts w:eastAsia="Times New Roman" w:cs="Times New Roman"/>
          <w:b/>
          <w:sz w:val="24"/>
          <w:szCs w:val="24"/>
          <w:lang w:eastAsia="ru-RU"/>
        </w:rPr>
        <w:t>8.2.5.</w:t>
      </w:r>
    </w:p>
    <w:p w:rsidR="00C320C5" w:rsidRDefault="00C320C5" w:rsidP="0019600E">
      <w:pPr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C320C5" w:rsidRDefault="00C320C5" w:rsidP="0019600E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EE45E2">
        <w:rPr>
          <w:rFonts w:eastAsia="Times New Roman" w:cs="Times New Roman"/>
          <w:sz w:val="24"/>
          <w:szCs w:val="24"/>
          <w:lang w:eastAsia="ru-RU"/>
        </w:rPr>
        <w:t xml:space="preserve">На структурную часть объекта </w:t>
      </w:r>
      <w:r w:rsidR="00EE45E2" w:rsidRPr="00EE45E2">
        <w:rPr>
          <w:rFonts w:eastAsia="Times New Roman" w:cs="Times New Roman"/>
          <w:sz w:val="24"/>
          <w:szCs w:val="24"/>
          <w:lang w:eastAsia="ru-RU"/>
        </w:rPr>
        <w:t xml:space="preserve">основных средств начисляется амортизация отдельно от амортизации иных частей, составляющих совместно </w:t>
      </w:r>
      <w:r w:rsidR="00EE45E2">
        <w:rPr>
          <w:rFonts w:eastAsia="Times New Roman" w:cs="Times New Roman"/>
          <w:sz w:val="24"/>
          <w:szCs w:val="24"/>
          <w:lang w:eastAsia="ru-RU"/>
        </w:rPr>
        <w:t>со структурными частями объекта основных средств единый объект имущества (единый объект основных средств) (пункт 40 Стандарта «Основные средства»</w:t>
      </w:r>
      <w:r w:rsidR="006D108B">
        <w:rPr>
          <w:rFonts w:eastAsia="Times New Roman" w:cs="Times New Roman"/>
          <w:sz w:val="24"/>
          <w:szCs w:val="24"/>
          <w:lang w:eastAsia="ru-RU"/>
        </w:rPr>
        <w:t>).</w:t>
      </w:r>
    </w:p>
    <w:p w:rsidR="006D108B" w:rsidRDefault="006D108B" w:rsidP="0019600E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Для целей начисления амортизации субъект учета согласно решению комиссии по поступлению и выбытию активов распределяет </w:t>
      </w:r>
      <w:r w:rsidR="0017573E">
        <w:rPr>
          <w:rFonts w:eastAsia="Times New Roman" w:cs="Times New Roman"/>
          <w:sz w:val="24"/>
          <w:szCs w:val="24"/>
          <w:lang w:eastAsia="ru-RU"/>
        </w:rPr>
        <w:t>стоимость объекта основных средств, состоящего из таких частей, между его частями.</w:t>
      </w:r>
    </w:p>
    <w:p w:rsidR="0017573E" w:rsidRDefault="0017573E" w:rsidP="0019600E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Срок полезного использования и метод начисления амортизации структурной части объекта основных средств могут совпадать со сроком полезного использования и методом начисления амортизации иных частей, составляющих совместно со структурными частями</w:t>
      </w:r>
      <w:r w:rsidR="008C5359">
        <w:rPr>
          <w:rFonts w:eastAsia="Times New Roman" w:cs="Times New Roman"/>
          <w:sz w:val="24"/>
          <w:szCs w:val="24"/>
          <w:lang w:eastAsia="ru-RU"/>
        </w:rPr>
        <w:t xml:space="preserve"> объекта основных средств единый объект имущества (единый объект основных средств). При определении суммы амортизации таких частей они объединяются.</w:t>
      </w:r>
    </w:p>
    <w:p w:rsidR="008C5359" w:rsidRPr="00EE45E2" w:rsidRDefault="008C5359" w:rsidP="0019600E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B6D64" w:rsidRDefault="002B6D64" w:rsidP="00CB53DA">
      <w:pPr>
        <w:ind w:left="360"/>
        <w:jc w:val="both"/>
        <w:rPr>
          <w:sz w:val="24"/>
          <w:szCs w:val="24"/>
        </w:rPr>
      </w:pPr>
    </w:p>
    <w:p w:rsidR="00A2722B" w:rsidRDefault="00A2722B" w:rsidP="00CB53DA">
      <w:pPr>
        <w:ind w:left="360"/>
        <w:jc w:val="both"/>
        <w:rPr>
          <w:sz w:val="24"/>
          <w:szCs w:val="24"/>
        </w:rPr>
      </w:pPr>
    </w:p>
    <w:p w:rsidR="002B6D64" w:rsidRPr="000737F6" w:rsidRDefault="0019600E" w:rsidP="00CB53DA">
      <w:pPr>
        <w:ind w:left="360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Добавить  пункт</w:t>
      </w:r>
      <w:proofErr w:type="gramEnd"/>
      <w:r>
        <w:rPr>
          <w:sz w:val="24"/>
          <w:szCs w:val="24"/>
        </w:rPr>
        <w:t xml:space="preserve"> </w:t>
      </w:r>
      <w:r w:rsidR="00D317AD">
        <w:rPr>
          <w:b/>
          <w:sz w:val="24"/>
          <w:szCs w:val="24"/>
        </w:rPr>
        <w:t>8.20.</w:t>
      </w:r>
    </w:p>
    <w:p w:rsidR="0019600E" w:rsidRDefault="0019600E" w:rsidP="00CB53DA">
      <w:pPr>
        <w:ind w:left="360"/>
        <w:jc w:val="both"/>
        <w:rPr>
          <w:sz w:val="24"/>
          <w:szCs w:val="24"/>
        </w:rPr>
      </w:pPr>
    </w:p>
    <w:p w:rsidR="00C86880" w:rsidRDefault="000403E1" w:rsidP="00E5090A">
      <w:pPr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распоряжения Комитета социальной политики Санкт-Петербурга «Об организации работы пунктов проката предметов первой необходимости для новорожденных»</w:t>
      </w:r>
      <w:r w:rsidR="00914642">
        <w:rPr>
          <w:sz w:val="24"/>
          <w:szCs w:val="24"/>
        </w:rPr>
        <w:t xml:space="preserve"> руководствоваться Примерным Положением о пункте проката предметов первой необходимости для новорожденных от 16.04.2025 года № 261-р.</w:t>
      </w:r>
    </w:p>
    <w:p w:rsidR="00ED29F1" w:rsidRDefault="003B38AE" w:rsidP="00ED29F1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работу п</w:t>
      </w:r>
      <w:r w:rsidR="00ED29F1">
        <w:rPr>
          <w:sz w:val="24"/>
          <w:szCs w:val="24"/>
        </w:rPr>
        <w:t>ункт</w:t>
      </w:r>
      <w:r>
        <w:rPr>
          <w:sz w:val="24"/>
          <w:szCs w:val="24"/>
        </w:rPr>
        <w:t>а</w:t>
      </w:r>
      <w:r w:rsidR="00ED29F1">
        <w:rPr>
          <w:sz w:val="24"/>
          <w:szCs w:val="24"/>
        </w:rPr>
        <w:t xml:space="preserve"> проката </w:t>
      </w:r>
      <w:r>
        <w:rPr>
          <w:sz w:val="24"/>
          <w:szCs w:val="24"/>
        </w:rPr>
        <w:t xml:space="preserve">предметов первой необходимости для новорожденных в 2025 году в соответствии с </w:t>
      </w:r>
      <w:proofErr w:type="gramStart"/>
      <w:r>
        <w:rPr>
          <w:sz w:val="24"/>
          <w:szCs w:val="24"/>
        </w:rPr>
        <w:t xml:space="preserve">приказом </w:t>
      </w:r>
      <w:r w:rsidR="00ED29F1">
        <w:rPr>
          <w:sz w:val="24"/>
          <w:szCs w:val="24"/>
        </w:rPr>
        <w:t xml:space="preserve"> директора</w:t>
      </w:r>
      <w:proofErr w:type="gramEnd"/>
      <w:r w:rsidR="00ED29F1">
        <w:rPr>
          <w:sz w:val="24"/>
          <w:szCs w:val="24"/>
        </w:rPr>
        <w:t xml:space="preserve"> Учреждения</w:t>
      </w:r>
      <w:r>
        <w:rPr>
          <w:sz w:val="24"/>
          <w:szCs w:val="24"/>
        </w:rPr>
        <w:t xml:space="preserve"> № 352/1 от 21.07.2025</w:t>
      </w:r>
      <w:bookmarkStart w:id="0" w:name="_GoBack"/>
      <w:bookmarkEnd w:id="0"/>
      <w:r w:rsidR="00ED29F1">
        <w:rPr>
          <w:sz w:val="24"/>
          <w:szCs w:val="24"/>
        </w:rPr>
        <w:t>.</w:t>
      </w:r>
    </w:p>
    <w:p w:rsidR="00ED29F1" w:rsidRDefault="00ED29F1" w:rsidP="00ED29F1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Оценочной стоимостью предметов для новорожденных для предоставления во временное безвозмездное пользование считать балансовую стоимость. Утверждается приказом директора Учреждения.</w:t>
      </w:r>
    </w:p>
    <w:p w:rsidR="00ED29F1" w:rsidRDefault="00ED29F1" w:rsidP="00ED29F1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Для просмотра и хранения предметов для новорожденных в Учреждении выделяется отдельное помещение</w:t>
      </w:r>
      <w:r w:rsidR="00005015">
        <w:rPr>
          <w:sz w:val="24"/>
          <w:szCs w:val="24"/>
        </w:rPr>
        <w:t xml:space="preserve"> (часть помещения).</w:t>
      </w:r>
    </w:p>
    <w:p w:rsidR="00005015" w:rsidRDefault="00005015" w:rsidP="00ED29F1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 организации работы по предоставлению во временное безвозмездное пользование предметов для новорожденных сотрудниками пункта проката обеспечиваются:</w:t>
      </w:r>
    </w:p>
    <w:p w:rsidR="00005015" w:rsidRDefault="00005015" w:rsidP="0000501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-ведение журнала учета граждан на получение предметов для новорожденных, выдачи и возврата гражданами предметов для новорожденных;</w:t>
      </w:r>
    </w:p>
    <w:p w:rsidR="00005015" w:rsidRDefault="00E16F9C" w:rsidP="0000501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-зак</w:t>
      </w:r>
      <w:r w:rsidR="00005015">
        <w:rPr>
          <w:sz w:val="24"/>
          <w:szCs w:val="24"/>
        </w:rPr>
        <w:t>лючение договоров о предоставлении во временное безвозмездное пользование предметов для новорожденных</w:t>
      </w:r>
      <w:r>
        <w:rPr>
          <w:sz w:val="24"/>
          <w:szCs w:val="24"/>
        </w:rPr>
        <w:t>.</w:t>
      </w:r>
    </w:p>
    <w:p w:rsidR="00E16F9C" w:rsidRDefault="00E16F9C" w:rsidP="00E16F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5. Выдача и возврат предметов для новорожденных оформ</w:t>
      </w:r>
      <w:r w:rsidR="00802F41">
        <w:rPr>
          <w:sz w:val="24"/>
          <w:szCs w:val="24"/>
        </w:rPr>
        <w:t>ляются А</w:t>
      </w:r>
      <w:r>
        <w:rPr>
          <w:sz w:val="24"/>
          <w:szCs w:val="24"/>
        </w:rPr>
        <w:t xml:space="preserve">ктом приема-передачи </w:t>
      </w:r>
    </w:p>
    <w:p w:rsidR="00C37403" w:rsidRDefault="00E16F9C" w:rsidP="00E16F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предметов для новорожденных</w:t>
      </w:r>
      <w:r w:rsidR="00802F41">
        <w:rPr>
          <w:sz w:val="24"/>
          <w:szCs w:val="24"/>
        </w:rPr>
        <w:t xml:space="preserve"> и А</w:t>
      </w:r>
      <w:r w:rsidR="00C37403">
        <w:rPr>
          <w:sz w:val="24"/>
          <w:szCs w:val="24"/>
        </w:rPr>
        <w:t xml:space="preserve">ктом возврата предметов первой необходимости для </w:t>
      </w:r>
    </w:p>
    <w:p w:rsidR="00955F3D" w:rsidRDefault="00C37403" w:rsidP="00E16F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новорожденных.</w:t>
      </w:r>
      <w:r w:rsidR="00955F3D">
        <w:rPr>
          <w:sz w:val="24"/>
          <w:szCs w:val="24"/>
        </w:rPr>
        <w:t xml:space="preserve"> При оформлении акта предметы первой необходимости для </w:t>
      </w:r>
    </w:p>
    <w:p w:rsidR="00955F3D" w:rsidRDefault="00955F3D" w:rsidP="00E16F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новорожденного фиксируются по наименованию и инвентарному номеру (в случаях </w:t>
      </w:r>
    </w:p>
    <w:p w:rsidR="00E16F9C" w:rsidRDefault="00955F3D" w:rsidP="00E16F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передачи предметов стоимостью до 10 000,00 рублей</w:t>
      </w:r>
      <w:r w:rsidR="007C3994">
        <w:rPr>
          <w:sz w:val="24"/>
          <w:szCs w:val="24"/>
        </w:rPr>
        <w:t xml:space="preserve"> фиксировать по коду регистрации).</w:t>
      </w:r>
    </w:p>
    <w:p w:rsidR="007C3994" w:rsidRDefault="007C3994" w:rsidP="007C399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предоставлении </w:t>
      </w:r>
      <w:r w:rsidR="00C37403">
        <w:rPr>
          <w:sz w:val="24"/>
          <w:szCs w:val="24"/>
        </w:rPr>
        <w:t xml:space="preserve">в Централизованную бухгалтерию </w:t>
      </w:r>
      <w:r>
        <w:rPr>
          <w:sz w:val="24"/>
          <w:szCs w:val="24"/>
        </w:rPr>
        <w:t>Договора о предоставлении во временное безвозмездное пользование предметов первой необходимости для новорожденных</w:t>
      </w:r>
      <w:r w:rsidR="00802F41">
        <w:rPr>
          <w:sz w:val="24"/>
          <w:szCs w:val="24"/>
        </w:rPr>
        <w:t xml:space="preserve">, </w:t>
      </w:r>
      <w:r>
        <w:rPr>
          <w:sz w:val="24"/>
          <w:szCs w:val="24"/>
        </w:rPr>
        <w:t>Акта пр</w:t>
      </w:r>
      <w:r w:rsidR="00C02B0B">
        <w:rPr>
          <w:sz w:val="24"/>
          <w:szCs w:val="24"/>
        </w:rPr>
        <w:t>и</w:t>
      </w:r>
      <w:r>
        <w:rPr>
          <w:sz w:val="24"/>
          <w:szCs w:val="24"/>
        </w:rPr>
        <w:t>ема-передачи предметов первой необ</w:t>
      </w:r>
      <w:r w:rsidR="00C02B0B">
        <w:rPr>
          <w:sz w:val="24"/>
          <w:szCs w:val="24"/>
        </w:rPr>
        <w:t xml:space="preserve">ходимости </w:t>
      </w:r>
      <w:r w:rsidR="00C37403">
        <w:rPr>
          <w:sz w:val="24"/>
          <w:szCs w:val="24"/>
        </w:rPr>
        <w:t>для новорожденных</w:t>
      </w:r>
      <w:r w:rsidR="00802F41">
        <w:rPr>
          <w:sz w:val="24"/>
          <w:szCs w:val="24"/>
        </w:rPr>
        <w:t>, Акта возврата предметов первой необходимости для новорожденных</w:t>
      </w:r>
      <w:r w:rsidR="00C37403">
        <w:rPr>
          <w:sz w:val="24"/>
          <w:szCs w:val="24"/>
        </w:rPr>
        <w:t xml:space="preserve"> в регистрах бухгалтерского учета проводить операцию по движению счета 26 имущество, переданное в безвозмездное пользование</w:t>
      </w:r>
      <w:r w:rsidR="00802F41">
        <w:rPr>
          <w:sz w:val="24"/>
          <w:szCs w:val="24"/>
        </w:rPr>
        <w:t>.</w:t>
      </w:r>
    </w:p>
    <w:p w:rsidR="00802F41" w:rsidRDefault="00AC4C2F" w:rsidP="007C399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Заявитель обязан вернуть предметы для новорожденных в исправном состоянии в срок, определенный Договором, а в случае утраты предмета(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 для новорожденных-возместить его(их) оценочную стоимость. В случае поломки (неисправности) предмета(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 для новорожденных вследствие нарушения правил пользования ими, заявитель также обязан возместить его оценочную стоимость</w:t>
      </w:r>
      <w:r w:rsidR="00EA363B">
        <w:rPr>
          <w:sz w:val="24"/>
          <w:szCs w:val="24"/>
        </w:rPr>
        <w:t>.</w:t>
      </w:r>
    </w:p>
    <w:p w:rsidR="00EA363B" w:rsidRPr="007C3994" w:rsidRDefault="00EA363B" w:rsidP="007C3994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Непригодные для использования предметы для новорожденных подлежит списанию</w:t>
      </w:r>
      <w:r w:rsidR="00C459F6">
        <w:rPr>
          <w:sz w:val="24"/>
          <w:szCs w:val="24"/>
        </w:rPr>
        <w:t xml:space="preserve"> (независимо от срока полезного использования)</w:t>
      </w:r>
      <w:r>
        <w:rPr>
          <w:sz w:val="24"/>
          <w:szCs w:val="24"/>
        </w:rPr>
        <w:t>.</w:t>
      </w:r>
    </w:p>
    <w:p w:rsidR="0069444B" w:rsidRDefault="0069444B" w:rsidP="00FE772A">
      <w:pPr>
        <w:jc w:val="both"/>
        <w:rPr>
          <w:sz w:val="24"/>
          <w:szCs w:val="24"/>
        </w:rPr>
      </w:pPr>
    </w:p>
    <w:p w:rsidR="0069444B" w:rsidRDefault="0069444B" w:rsidP="00271EBC">
      <w:pPr>
        <w:jc w:val="both"/>
        <w:rPr>
          <w:sz w:val="24"/>
          <w:szCs w:val="24"/>
        </w:rPr>
      </w:pPr>
    </w:p>
    <w:p w:rsidR="00FE772A" w:rsidRDefault="00FE772A" w:rsidP="00FE772A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14.Сроки выдачи денег под отчет.</w:t>
      </w:r>
    </w:p>
    <w:p w:rsidR="00FE772A" w:rsidRDefault="00FE772A" w:rsidP="00FE772A">
      <w:pPr>
        <w:ind w:left="360"/>
        <w:jc w:val="both"/>
        <w:rPr>
          <w:sz w:val="24"/>
          <w:szCs w:val="24"/>
        </w:rPr>
      </w:pPr>
    </w:p>
    <w:p w:rsidR="00FE772A" w:rsidRDefault="00FE772A" w:rsidP="00FE772A">
      <w:pPr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Добавить в </w:t>
      </w:r>
      <w:r>
        <w:rPr>
          <w:b/>
          <w:sz w:val="24"/>
          <w:szCs w:val="24"/>
        </w:rPr>
        <w:t>Приложение № 18</w:t>
      </w:r>
    </w:p>
    <w:p w:rsidR="00FE772A" w:rsidRDefault="00FE772A" w:rsidP="00FE772A">
      <w:pPr>
        <w:ind w:left="360"/>
        <w:jc w:val="both"/>
        <w:rPr>
          <w:b/>
          <w:sz w:val="24"/>
          <w:szCs w:val="24"/>
        </w:rPr>
      </w:pPr>
    </w:p>
    <w:p w:rsidR="00FE772A" w:rsidRPr="009D46B1" w:rsidRDefault="00FE772A" w:rsidP="00FE772A">
      <w:pPr>
        <w:rPr>
          <w:sz w:val="24"/>
          <w:szCs w:val="24"/>
        </w:rPr>
      </w:pPr>
      <w:r>
        <w:rPr>
          <w:sz w:val="24"/>
          <w:szCs w:val="24"/>
        </w:rPr>
        <w:t xml:space="preserve">Пункт </w:t>
      </w:r>
      <w:r w:rsidRPr="009D46B1">
        <w:rPr>
          <w:sz w:val="24"/>
          <w:szCs w:val="24"/>
        </w:rPr>
        <w:t>9. Если во время командировки работник должен посетить несколько населенных пунктов, ему компенсируется проезд из каждого такого населенного пункта в другой (п. 12 Положения о служебных командировках) при наличии проездных документов, подтверждающих указанные расходы.</w:t>
      </w:r>
    </w:p>
    <w:p w:rsidR="00FE772A" w:rsidRDefault="00FE772A" w:rsidP="00FE772A">
      <w:pPr>
        <w:ind w:left="360"/>
        <w:jc w:val="both"/>
        <w:rPr>
          <w:b/>
          <w:sz w:val="24"/>
          <w:szCs w:val="24"/>
        </w:rPr>
      </w:pPr>
    </w:p>
    <w:p w:rsidR="00F37182" w:rsidRDefault="00F37182" w:rsidP="00271EBC">
      <w:pPr>
        <w:jc w:val="both"/>
        <w:rPr>
          <w:sz w:val="24"/>
          <w:szCs w:val="24"/>
        </w:rPr>
      </w:pPr>
    </w:p>
    <w:p w:rsidR="002A6E93" w:rsidRDefault="002A6E93" w:rsidP="00271EBC">
      <w:pPr>
        <w:ind w:left="360"/>
        <w:jc w:val="both"/>
        <w:rPr>
          <w:sz w:val="24"/>
          <w:szCs w:val="24"/>
        </w:rPr>
      </w:pPr>
    </w:p>
    <w:p w:rsidR="00905D61" w:rsidRDefault="00905D61" w:rsidP="00271EBC">
      <w:pPr>
        <w:ind w:left="360"/>
        <w:jc w:val="both"/>
        <w:rPr>
          <w:sz w:val="24"/>
          <w:szCs w:val="24"/>
        </w:rPr>
      </w:pPr>
    </w:p>
    <w:p w:rsidR="00BC3B2C" w:rsidRPr="002B5D5A" w:rsidRDefault="00BC3B2C" w:rsidP="0069444B">
      <w:pPr>
        <w:ind w:left="360"/>
        <w:jc w:val="both"/>
        <w:rPr>
          <w:sz w:val="24"/>
          <w:szCs w:val="24"/>
        </w:rPr>
      </w:pPr>
    </w:p>
    <w:p w:rsidR="00363E81" w:rsidRDefault="00363E81" w:rsidP="0069444B">
      <w:pPr>
        <w:ind w:left="360"/>
        <w:jc w:val="both"/>
        <w:rPr>
          <w:sz w:val="24"/>
          <w:szCs w:val="24"/>
        </w:rPr>
      </w:pPr>
    </w:p>
    <w:p w:rsidR="00363E81" w:rsidRPr="00230F91" w:rsidRDefault="00363E81" w:rsidP="0069444B">
      <w:pPr>
        <w:ind w:left="360"/>
        <w:jc w:val="both"/>
        <w:rPr>
          <w:sz w:val="24"/>
          <w:szCs w:val="24"/>
        </w:rPr>
      </w:pPr>
    </w:p>
    <w:p w:rsidR="00230F91" w:rsidRPr="00230F91" w:rsidRDefault="00230F91" w:rsidP="0069444B">
      <w:pPr>
        <w:ind w:left="360"/>
        <w:jc w:val="both"/>
        <w:rPr>
          <w:b/>
          <w:sz w:val="24"/>
          <w:szCs w:val="24"/>
        </w:rPr>
      </w:pPr>
    </w:p>
    <w:p w:rsidR="00230F91" w:rsidRPr="00230F91" w:rsidRDefault="00230F91" w:rsidP="0069444B">
      <w:pPr>
        <w:pStyle w:val="a3"/>
        <w:jc w:val="both"/>
        <w:rPr>
          <w:b/>
          <w:sz w:val="24"/>
          <w:szCs w:val="24"/>
        </w:rPr>
      </w:pPr>
    </w:p>
    <w:sectPr w:rsidR="00230F91" w:rsidRPr="00230F91" w:rsidSect="00CE4C4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95D5C"/>
    <w:multiLevelType w:val="hybridMultilevel"/>
    <w:tmpl w:val="23EEE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43B77"/>
    <w:multiLevelType w:val="hybridMultilevel"/>
    <w:tmpl w:val="0CCADE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03A72"/>
    <w:multiLevelType w:val="hybridMultilevel"/>
    <w:tmpl w:val="4134B3D4"/>
    <w:lvl w:ilvl="0" w:tplc="342289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BD"/>
    <w:rsid w:val="00005015"/>
    <w:rsid w:val="00006456"/>
    <w:rsid w:val="000066A6"/>
    <w:rsid w:val="0001613E"/>
    <w:rsid w:val="00030ACC"/>
    <w:rsid w:val="000403E1"/>
    <w:rsid w:val="00040AAB"/>
    <w:rsid w:val="00061989"/>
    <w:rsid w:val="000737F6"/>
    <w:rsid w:val="00074759"/>
    <w:rsid w:val="00087967"/>
    <w:rsid w:val="000B6102"/>
    <w:rsid w:val="000C492B"/>
    <w:rsid w:val="000E5F11"/>
    <w:rsid w:val="00165B6D"/>
    <w:rsid w:val="0017573E"/>
    <w:rsid w:val="0019600E"/>
    <w:rsid w:val="001A780C"/>
    <w:rsid w:val="001B42F9"/>
    <w:rsid w:val="001B5A53"/>
    <w:rsid w:val="001C15A4"/>
    <w:rsid w:val="001C7BB6"/>
    <w:rsid w:val="001F26AB"/>
    <w:rsid w:val="00213014"/>
    <w:rsid w:val="00230F91"/>
    <w:rsid w:val="00241B2E"/>
    <w:rsid w:val="00243D6F"/>
    <w:rsid w:val="00271EBC"/>
    <w:rsid w:val="002725C2"/>
    <w:rsid w:val="00275AD9"/>
    <w:rsid w:val="00276D01"/>
    <w:rsid w:val="0029371D"/>
    <w:rsid w:val="00294D89"/>
    <w:rsid w:val="002A6E93"/>
    <w:rsid w:val="002B5D5A"/>
    <w:rsid w:val="002B6D64"/>
    <w:rsid w:val="0031378D"/>
    <w:rsid w:val="00314E88"/>
    <w:rsid w:val="00352FEF"/>
    <w:rsid w:val="003632EA"/>
    <w:rsid w:val="00363E81"/>
    <w:rsid w:val="00372593"/>
    <w:rsid w:val="00381393"/>
    <w:rsid w:val="003A1D30"/>
    <w:rsid w:val="003A75FD"/>
    <w:rsid w:val="003B38AE"/>
    <w:rsid w:val="003C2759"/>
    <w:rsid w:val="003D0A80"/>
    <w:rsid w:val="003E5781"/>
    <w:rsid w:val="003F1E1B"/>
    <w:rsid w:val="003F46D7"/>
    <w:rsid w:val="003F621D"/>
    <w:rsid w:val="00407EF6"/>
    <w:rsid w:val="0041102A"/>
    <w:rsid w:val="00441FEB"/>
    <w:rsid w:val="00442162"/>
    <w:rsid w:val="004461E0"/>
    <w:rsid w:val="00457D72"/>
    <w:rsid w:val="0047702C"/>
    <w:rsid w:val="004B2DF4"/>
    <w:rsid w:val="004B60B0"/>
    <w:rsid w:val="004D637D"/>
    <w:rsid w:val="004E489F"/>
    <w:rsid w:val="004F1BE5"/>
    <w:rsid w:val="00522709"/>
    <w:rsid w:val="005270BD"/>
    <w:rsid w:val="005355A7"/>
    <w:rsid w:val="005550FF"/>
    <w:rsid w:val="00560ED7"/>
    <w:rsid w:val="005617B5"/>
    <w:rsid w:val="00567ED1"/>
    <w:rsid w:val="005859C6"/>
    <w:rsid w:val="005D79E4"/>
    <w:rsid w:val="00605F3F"/>
    <w:rsid w:val="00612B6C"/>
    <w:rsid w:val="00616137"/>
    <w:rsid w:val="00622E26"/>
    <w:rsid w:val="006407D3"/>
    <w:rsid w:val="00665D1B"/>
    <w:rsid w:val="00680EFE"/>
    <w:rsid w:val="0069444B"/>
    <w:rsid w:val="006B479C"/>
    <w:rsid w:val="006B4F22"/>
    <w:rsid w:val="006B6D06"/>
    <w:rsid w:val="006D108B"/>
    <w:rsid w:val="006D579F"/>
    <w:rsid w:val="006F4A0A"/>
    <w:rsid w:val="007336BF"/>
    <w:rsid w:val="0074189E"/>
    <w:rsid w:val="007A0FB2"/>
    <w:rsid w:val="007A1461"/>
    <w:rsid w:val="007B1575"/>
    <w:rsid w:val="007B5F4E"/>
    <w:rsid w:val="007C1668"/>
    <w:rsid w:val="007C3994"/>
    <w:rsid w:val="007E26E9"/>
    <w:rsid w:val="007E466C"/>
    <w:rsid w:val="00802F41"/>
    <w:rsid w:val="008034E7"/>
    <w:rsid w:val="008042BA"/>
    <w:rsid w:val="00825EAB"/>
    <w:rsid w:val="00890AEA"/>
    <w:rsid w:val="00890FDA"/>
    <w:rsid w:val="008A2BB2"/>
    <w:rsid w:val="008C5359"/>
    <w:rsid w:val="008C7378"/>
    <w:rsid w:val="008D4066"/>
    <w:rsid w:val="008F5DE2"/>
    <w:rsid w:val="00905D61"/>
    <w:rsid w:val="00914642"/>
    <w:rsid w:val="0092245B"/>
    <w:rsid w:val="00955F3D"/>
    <w:rsid w:val="0096341A"/>
    <w:rsid w:val="00976D80"/>
    <w:rsid w:val="00976F90"/>
    <w:rsid w:val="00977D8B"/>
    <w:rsid w:val="0099243C"/>
    <w:rsid w:val="009B5518"/>
    <w:rsid w:val="009D46B1"/>
    <w:rsid w:val="009E4FB2"/>
    <w:rsid w:val="00A23E46"/>
    <w:rsid w:val="00A2722B"/>
    <w:rsid w:val="00A34B65"/>
    <w:rsid w:val="00A422ED"/>
    <w:rsid w:val="00AA4778"/>
    <w:rsid w:val="00AB2403"/>
    <w:rsid w:val="00AC4C2F"/>
    <w:rsid w:val="00AE2A95"/>
    <w:rsid w:val="00AE686F"/>
    <w:rsid w:val="00B11D6A"/>
    <w:rsid w:val="00B14370"/>
    <w:rsid w:val="00B43140"/>
    <w:rsid w:val="00B45F61"/>
    <w:rsid w:val="00B57E74"/>
    <w:rsid w:val="00B66CA3"/>
    <w:rsid w:val="00BC2BD2"/>
    <w:rsid w:val="00BC3B2C"/>
    <w:rsid w:val="00BD72E2"/>
    <w:rsid w:val="00BF3302"/>
    <w:rsid w:val="00C02B0B"/>
    <w:rsid w:val="00C126B1"/>
    <w:rsid w:val="00C320C5"/>
    <w:rsid w:val="00C33DC9"/>
    <w:rsid w:val="00C37403"/>
    <w:rsid w:val="00C42A2D"/>
    <w:rsid w:val="00C459F6"/>
    <w:rsid w:val="00C735D8"/>
    <w:rsid w:val="00C86880"/>
    <w:rsid w:val="00C959DA"/>
    <w:rsid w:val="00CB53DA"/>
    <w:rsid w:val="00CB683C"/>
    <w:rsid w:val="00CC5A31"/>
    <w:rsid w:val="00CE4C41"/>
    <w:rsid w:val="00CE57BB"/>
    <w:rsid w:val="00D10EAD"/>
    <w:rsid w:val="00D12C7A"/>
    <w:rsid w:val="00D317AD"/>
    <w:rsid w:val="00D34E91"/>
    <w:rsid w:val="00D62624"/>
    <w:rsid w:val="00D67461"/>
    <w:rsid w:val="00D91FCB"/>
    <w:rsid w:val="00DA1C99"/>
    <w:rsid w:val="00DD119C"/>
    <w:rsid w:val="00DD53CA"/>
    <w:rsid w:val="00E002D3"/>
    <w:rsid w:val="00E16F9C"/>
    <w:rsid w:val="00E221A8"/>
    <w:rsid w:val="00E333DA"/>
    <w:rsid w:val="00E4633A"/>
    <w:rsid w:val="00E5090A"/>
    <w:rsid w:val="00E86FB9"/>
    <w:rsid w:val="00E873F7"/>
    <w:rsid w:val="00E9200F"/>
    <w:rsid w:val="00E9574C"/>
    <w:rsid w:val="00EA363B"/>
    <w:rsid w:val="00EB5680"/>
    <w:rsid w:val="00ED29F1"/>
    <w:rsid w:val="00ED3554"/>
    <w:rsid w:val="00EE3C45"/>
    <w:rsid w:val="00EE45E2"/>
    <w:rsid w:val="00EE7531"/>
    <w:rsid w:val="00EF2DBB"/>
    <w:rsid w:val="00EF76AE"/>
    <w:rsid w:val="00F05DCA"/>
    <w:rsid w:val="00F131D3"/>
    <w:rsid w:val="00F14007"/>
    <w:rsid w:val="00F2301D"/>
    <w:rsid w:val="00F37182"/>
    <w:rsid w:val="00F53465"/>
    <w:rsid w:val="00F67947"/>
    <w:rsid w:val="00F7462C"/>
    <w:rsid w:val="00F83FC8"/>
    <w:rsid w:val="00FA584E"/>
    <w:rsid w:val="00FA6466"/>
    <w:rsid w:val="00FB1100"/>
    <w:rsid w:val="00FC2600"/>
    <w:rsid w:val="00FE0CE5"/>
    <w:rsid w:val="00FE772A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D23C"/>
  <w15:chartTrackingRefBased/>
  <w15:docId w15:val="{756B5FD9-926D-4CA6-894E-BD34DC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F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42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42B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F46D7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ГКУ "ЦБ администрации Пушкинского района СПб"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А.И</dc:creator>
  <cp:keywords/>
  <dc:description/>
  <cp:lastModifiedBy>Пащенко А.И</cp:lastModifiedBy>
  <cp:revision>68</cp:revision>
  <cp:lastPrinted>2025-10-01T13:54:00Z</cp:lastPrinted>
  <dcterms:created xsi:type="dcterms:W3CDTF">2023-04-14T11:56:00Z</dcterms:created>
  <dcterms:modified xsi:type="dcterms:W3CDTF">2025-10-07T06:25:00Z</dcterms:modified>
</cp:coreProperties>
</file>